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C7" w:rsidRDefault="007442C7" w:rsidP="003461F6">
      <w:r w:rsidRPr="007442C7">
        <w:rPr>
          <w:rFonts w:eastAsia="Times New Roman"/>
          <w:b/>
          <w:noProof/>
          <w:sz w:val="20"/>
          <w:szCs w:val="20"/>
          <w:lang w:val="nl-NL" w:eastAsia="nl-NL"/>
        </w:rPr>
        <w:drawing>
          <wp:inline distT="0" distB="0" distL="0" distR="0" wp14:anchorId="2D0849F6" wp14:editId="320A3EE8">
            <wp:extent cx="1091184" cy="1004175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09" cy="101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2C7" w:rsidRDefault="007442C7" w:rsidP="003461F6"/>
    <w:p w:rsidR="003461F6" w:rsidRPr="003461F6" w:rsidRDefault="003461F6" w:rsidP="003461F6">
      <w:pPr>
        <w:rPr>
          <w:b/>
          <w:bCs/>
          <w:lang w:val="nl-NL"/>
        </w:rPr>
      </w:pPr>
      <w:proofErr w:type="spellStart"/>
      <w:r>
        <w:t>Zelfstudie</w:t>
      </w:r>
      <w:proofErr w:type="spellEnd"/>
      <w:r>
        <w:t xml:space="preserve"> </w:t>
      </w:r>
      <w:proofErr w:type="spellStart"/>
      <w:r>
        <w:t>behorende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accreditatieaanvraag</w:t>
      </w:r>
      <w:proofErr w:type="spellEnd"/>
      <w:r>
        <w:t xml:space="preserve"> </w:t>
      </w:r>
      <w:r w:rsidRPr="003461F6">
        <w:rPr>
          <w:b/>
          <w:bCs/>
          <w:lang w:val="nl-NL"/>
        </w:rPr>
        <w:t>Inspanningsfysiologie en trainingsleer bij de ziekenhuis patiënt</w:t>
      </w:r>
    </w:p>
    <w:p w:rsidR="007442C7" w:rsidRDefault="007442C7"/>
    <w:p w:rsidR="007442C7" w:rsidRDefault="003461F6">
      <w:r>
        <w:t xml:space="preserve">Let op: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betreft</w:t>
      </w:r>
      <w:proofErr w:type="spellEnd"/>
      <w:r>
        <w:t xml:space="preserve"> de </w:t>
      </w:r>
      <w:r w:rsidR="007442C7">
        <w:t>twee</w:t>
      </w:r>
      <w:r>
        <w:t xml:space="preserve"> e-learning modules die </w:t>
      </w:r>
      <w:proofErr w:type="spellStart"/>
      <w:r>
        <w:t>onderdeel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de </w:t>
      </w:r>
      <w:proofErr w:type="spellStart"/>
      <w:r w:rsidR="007442C7">
        <w:t>gehele</w:t>
      </w:r>
      <w:proofErr w:type="spellEnd"/>
      <w:r w:rsidR="007442C7">
        <w:t xml:space="preserve"> </w:t>
      </w:r>
      <w:r>
        <w:t xml:space="preserve">cursus. </w:t>
      </w:r>
      <w:r>
        <w:br/>
        <w:t xml:space="preserve">Module </w:t>
      </w:r>
      <w:proofErr w:type="spellStart"/>
      <w:r>
        <w:t>deel</w:t>
      </w:r>
      <w:proofErr w:type="spellEnd"/>
      <w:r>
        <w:t xml:space="preserve"> 1 </w:t>
      </w:r>
      <w:proofErr w:type="spellStart"/>
      <w:r w:rsidR="007442C7">
        <w:t>dient</w:t>
      </w:r>
      <w:proofErr w:type="spellEnd"/>
      <w:r w:rsidR="007442C7">
        <w:t xml:space="preserve"> te </w:t>
      </w:r>
      <w:proofErr w:type="spellStart"/>
      <w:r w:rsidR="007442C7">
        <w:t>worden</w:t>
      </w:r>
      <w:proofErr w:type="spellEnd"/>
      <w:r>
        <w:t xml:space="preserve"> </w:t>
      </w:r>
      <w:proofErr w:type="spellStart"/>
      <w:r>
        <w:t>gevolgd</w:t>
      </w:r>
      <w:proofErr w:type="spellEnd"/>
      <w:r>
        <w:t xml:space="preserve"> </w:t>
      </w:r>
      <w:proofErr w:type="spellStart"/>
      <w:r>
        <w:t>voorafgaand</w:t>
      </w:r>
      <w:proofErr w:type="spellEnd"/>
      <w:r>
        <w:t xml:space="preserve"> </w:t>
      </w:r>
      <w:proofErr w:type="spellStart"/>
      <w:r w:rsidR="007442C7">
        <w:t>aan</w:t>
      </w:r>
      <w:proofErr w:type="spellEnd"/>
      <w:r w:rsidR="007442C7">
        <w:t xml:space="preserve"> </w:t>
      </w:r>
      <w:r>
        <w:t xml:space="preserve">en ter </w:t>
      </w:r>
      <w:proofErr w:type="spellStart"/>
      <w:r>
        <w:t>voorbereiding</w:t>
      </w:r>
      <w:proofErr w:type="spellEnd"/>
      <w:r w:rsidR="007442C7">
        <w:t xml:space="preserve"> op de </w:t>
      </w:r>
      <w:proofErr w:type="spellStart"/>
      <w:r w:rsidR="007442C7">
        <w:t>eerste</w:t>
      </w:r>
      <w:proofErr w:type="spellEnd"/>
      <w:r w:rsidR="007442C7">
        <w:t xml:space="preserve"> </w:t>
      </w:r>
      <w:proofErr w:type="spellStart"/>
      <w:r w:rsidR="007442C7">
        <w:t>fysieke</w:t>
      </w:r>
      <w:proofErr w:type="spellEnd"/>
      <w:r w:rsidR="007442C7">
        <w:t xml:space="preserve"> </w:t>
      </w:r>
      <w:proofErr w:type="spellStart"/>
      <w:r w:rsidR="007442C7">
        <w:t>cursusdag</w:t>
      </w:r>
      <w:proofErr w:type="spellEnd"/>
      <w:r w:rsidR="007442C7">
        <w:t>.</w:t>
      </w:r>
    </w:p>
    <w:p w:rsidR="00A8322E" w:rsidRDefault="007442C7">
      <w:r>
        <w:t>M</w:t>
      </w:r>
      <w:r w:rsidR="003461F6">
        <w:t xml:space="preserve">odule </w:t>
      </w:r>
      <w:proofErr w:type="spellStart"/>
      <w:r w:rsidR="003461F6">
        <w:t>deel</w:t>
      </w:r>
      <w:proofErr w:type="spellEnd"/>
      <w:r w:rsidR="003461F6">
        <w:t xml:space="preserve"> 2 </w:t>
      </w:r>
      <w:proofErr w:type="spellStart"/>
      <w:r>
        <w:t>dient</w:t>
      </w:r>
      <w:proofErr w:type="spellEnd"/>
      <w:r>
        <w:t xml:space="preserve"> te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gevolgd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en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fysieke</w:t>
      </w:r>
      <w:proofErr w:type="spellEnd"/>
      <w:r>
        <w:t xml:space="preserve"> </w:t>
      </w:r>
      <w:proofErr w:type="spellStart"/>
      <w:r>
        <w:t>cursudag</w:t>
      </w:r>
      <w:proofErr w:type="spellEnd"/>
      <w:r>
        <w:t xml:space="preserve"> in.</w:t>
      </w:r>
    </w:p>
    <w:p w:rsidR="003461F6" w:rsidRDefault="003461F6"/>
    <w:tbl>
      <w:tblPr>
        <w:tblStyle w:val="TableNormal"/>
        <w:tblW w:w="9072" w:type="dxa"/>
        <w:tblInd w:w="107" w:type="dxa"/>
        <w:tblBorders>
          <w:top w:val="single" w:sz="2" w:space="0" w:color="B8B8B8"/>
          <w:left w:val="single" w:sz="2" w:space="0" w:color="B8B8B8"/>
          <w:bottom w:val="single" w:sz="2" w:space="0" w:color="B8B8B8"/>
          <w:right w:val="single" w:sz="2" w:space="0" w:color="B8B8B8"/>
          <w:insideH w:val="single" w:sz="2" w:space="0" w:color="B8B8B8"/>
          <w:insideV w:val="single" w:sz="2" w:space="0" w:color="B8B8B8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3461F6" w:rsidTr="00936ACC">
        <w:trPr>
          <w:trHeight w:val="303"/>
        </w:trPr>
        <w:tc>
          <w:tcPr>
            <w:tcW w:w="2268" w:type="dxa"/>
            <w:shd w:val="clear" w:color="auto" w:fill="006385"/>
          </w:tcPr>
          <w:p w:rsidR="003461F6" w:rsidRDefault="003461F6" w:rsidP="00936ACC">
            <w:pPr>
              <w:pStyle w:val="TableParagraph"/>
              <w:spacing w:before="63"/>
              <w:ind w:left="56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Programmaonderdeel</w:t>
            </w:r>
            <w:proofErr w:type="spellEnd"/>
          </w:p>
        </w:tc>
        <w:tc>
          <w:tcPr>
            <w:tcW w:w="2268" w:type="dxa"/>
            <w:shd w:val="clear" w:color="auto" w:fill="006385"/>
          </w:tcPr>
          <w:p w:rsidR="003461F6" w:rsidRDefault="003461F6" w:rsidP="00936ACC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Contacttijd</w:t>
            </w:r>
            <w:proofErr w:type="spellEnd"/>
          </w:p>
        </w:tc>
        <w:tc>
          <w:tcPr>
            <w:tcW w:w="2268" w:type="dxa"/>
            <w:shd w:val="clear" w:color="auto" w:fill="006385"/>
          </w:tcPr>
          <w:p w:rsidR="003461F6" w:rsidRDefault="003461F6" w:rsidP="00936ACC">
            <w:pPr>
              <w:pStyle w:val="TableParagraph"/>
              <w:ind w:left="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Te </w:t>
            </w:r>
            <w:proofErr w:type="spellStart"/>
            <w:r>
              <w:rPr>
                <w:b/>
                <w:color w:val="FFFFFF"/>
                <w:sz w:val="16"/>
              </w:rPr>
              <w:t>bestuderen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stof</w:t>
            </w:r>
            <w:proofErr w:type="spellEnd"/>
          </w:p>
        </w:tc>
        <w:tc>
          <w:tcPr>
            <w:tcW w:w="2268" w:type="dxa"/>
            <w:shd w:val="clear" w:color="auto" w:fill="006385"/>
          </w:tcPr>
          <w:p w:rsidR="003461F6" w:rsidRDefault="003461F6" w:rsidP="00936ACC">
            <w:pPr>
              <w:pStyle w:val="TableParagraph"/>
              <w:ind w:left="6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Zelfstudietijd</w:t>
            </w:r>
            <w:proofErr w:type="spellEnd"/>
          </w:p>
        </w:tc>
      </w:tr>
      <w:tr w:rsidR="003461F6" w:rsidTr="00936ACC">
        <w:trPr>
          <w:trHeight w:val="2143"/>
        </w:trPr>
        <w:tc>
          <w:tcPr>
            <w:tcW w:w="2268" w:type="dxa"/>
          </w:tcPr>
          <w:p w:rsidR="003461F6" w:rsidRDefault="003461F6" w:rsidP="00936ACC">
            <w:pPr>
              <w:pStyle w:val="TableParagraph"/>
              <w:ind w:right="206"/>
              <w:rPr>
                <w:sz w:val="16"/>
              </w:rPr>
            </w:pPr>
            <w:proofErr w:type="spellStart"/>
            <w:r>
              <w:rPr>
                <w:sz w:val="16"/>
              </w:rPr>
              <w:t>Deel</w:t>
            </w:r>
            <w:proofErr w:type="spellEnd"/>
            <w:r>
              <w:rPr>
                <w:sz w:val="16"/>
              </w:rPr>
              <w:t xml:space="preserve"> 1 E-learning module in de </w:t>
            </w:r>
            <w:proofErr w:type="spellStart"/>
            <w:r>
              <w:rPr>
                <w:sz w:val="16"/>
              </w:rPr>
              <w:t>electronische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leeromgeving</w:t>
            </w:r>
            <w:proofErr w:type="spellEnd"/>
            <w:r>
              <w:rPr>
                <w:sz w:val="16"/>
              </w:rPr>
              <w:t xml:space="preserve"> van het NPi (</w:t>
            </w:r>
            <w:proofErr w:type="spellStart"/>
            <w:r>
              <w:rPr>
                <w:sz w:val="16"/>
              </w:rPr>
              <w:t>voorafgaand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eerste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fysieke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cursusdag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68" w:type="dxa"/>
          </w:tcPr>
          <w:p w:rsidR="003461F6" w:rsidRDefault="003461F6" w:rsidP="00936AC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268" w:type="dxa"/>
          </w:tcPr>
          <w:p w:rsidR="003461F6" w:rsidRDefault="003461F6" w:rsidP="00936ACC">
            <w:pPr>
              <w:pStyle w:val="TableParagraph"/>
              <w:ind w:left="61" w:right="83"/>
              <w:rPr>
                <w:sz w:val="16"/>
              </w:rPr>
            </w:pPr>
            <w:proofErr w:type="spellStart"/>
            <w:r>
              <w:rPr>
                <w:sz w:val="16"/>
              </w:rPr>
              <w:t>Lezen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hoofdstukken</w:t>
            </w:r>
            <w:proofErr w:type="spellEnd"/>
            <w:r>
              <w:rPr>
                <w:sz w:val="16"/>
              </w:rPr>
              <w:t xml:space="preserve"> 9 t/m 15 </w:t>
            </w:r>
            <w:proofErr w:type="spellStart"/>
            <w:r>
              <w:rPr>
                <w:sz w:val="16"/>
              </w:rPr>
              <w:t>uit</w:t>
            </w:r>
            <w:proofErr w:type="spellEnd"/>
            <w:r>
              <w:rPr>
                <w:sz w:val="16"/>
              </w:rPr>
              <w:t xml:space="preserve"> het </w:t>
            </w:r>
            <w:proofErr w:type="spellStart"/>
            <w:r>
              <w:rPr>
                <w:sz w:val="16"/>
              </w:rPr>
              <w:t>boek</w:t>
            </w:r>
            <w:proofErr w:type="spellEnd"/>
            <w:r>
              <w:rPr>
                <w:sz w:val="16"/>
              </w:rPr>
              <w:t xml:space="preserve"> ‘</w:t>
            </w:r>
            <w:proofErr w:type="spellStart"/>
            <w:r>
              <w:rPr>
                <w:sz w:val="16"/>
              </w:rPr>
              <w:t>Inspanningsfysiologie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oefentherapie</w:t>
            </w:r>
            <w:proofErr w:type="spellEnd"/>
            <w:r>
              <w:rPr>
                <w:sz w:val="16"/>
              </w:rPr>
              <w:t xml:space="preserve"> en training (</w:t>
            </w:r>
            <w:proofErr w:type="spellStart"/>
            <w:r>
              <w:rPr>
                <w:sz w:val="16"/>
              </w:rPr>
              <w:t>tweede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druk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juni</w:t>
            </w:r>
            <w:proofErr w:type="spellEnd"/>
            <w:r>
              <w:rPr>
                <w:sz w:val="16"/>
              </w:rPr>
              <w:t xml:space="preserve"> 2011) Auteurs: </w:t>
            </w:r>
            <w:proofErr w:type="spellStart"/>
            <w:r>
              <w:rPr>
                <w:sz w:val="16"/>
              </w:rPr>
              <w:t>drs.</w:t>
            </w:r>
            <w:proofErr w:type="spellEnd"/>
            <w:r>
              <w:rPr>
                <w:sz w:val="16"/>
              </w:rPr>
              <w:t xml:space="preserve"> Jan </w:t>
            </w:r>
            <w:proofErr w:type="spellStart"/>
            <w:r>
              <w:rPr>
                <w:sz w:val="16"/>
              </w:rPr>
              <w:t>Jaap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Morree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drs.</w:t>
            </w:r>
            <w:proofErr w:type="spellEnd"/>
            <w:r>
              <w:rPr>
                <w:sz w:val="16"/>
              </w:rPr>
              <w:t xml:space="preserve"> Tinus Jongert en </w:t>
            </w:r>
            <w:proofErr w:type="spellStart"/>
            <w:r>
              <w:rPr>
                <w:sz w:val="16"/>
              </w:rPr>
              <w:t>drs.</w:t>
            </w:r>
            <w:proofErr w:type="spellEnd"/>
            <w:r>
              <w:rPr>
                <w:sz w:val="16"/>
              </w:rPr>
              <w:t xml:space="preserve"> Gerard van der Poel .</w:t>
            </w:r>
          </w:p>
          <w:p w:rsidR="003461F6" w:rsidRDefault="003461F6" w:rsidP="00713796">
            <w:pPr>
              <w:pStyle w:val="TableParagraph"/>
              <w:spacing w:before="0"/>
              <w:ind w:left="61" w:right="162"/>
              <w:rPr>
                <w:sz w:val="16"/>
              </w:rPr>
            </w:pPr>
            <w:proofErr w:type="spellStart"/>
            <w:r>
              <w:rPr>
                <w:sz w:val="16"/>
              </w:rPr>
              <w:t>Daarna</w:t>
            </w:r>
            <w:proofErr w:type="spellEnd"/>
            <w:r>
              <w:rPr>
                <w:sz w:val="16"/>
              </w:rPr>
              <w:t xml:space="preserve"> in de e-learning module </w:t>
            </w:r>
            <w:proofErr w:type="spellStart"/>
            <w:r>
              <w:rPr>
                <w:sz w:val="16"/>
              </w:rPr>
              <w:t>beantwoorden</w:t>
            </w:r>
            <w:proofErr w:type="spellEnd"/>
            <w:r>
              <w:rPr>
                <w:sz w:val="16"/>
              </w:rPr>
              <w:t xml:space="preserve"> van 9 </w:t>
            </w:r>
            <w:proofErr w:type="spellStart"/>
            <w:r>
              <w:rPr>
                <w:sz w:val="16"/>
              </w:rPr>
              <w:t>forma</w:t>
            </w:r>
            <w:r w:rsidR="00713796">
              <w:rPr>
                <w:sz w:val="16"/>
              </w:rPr>
              <w:t>tieve</w:t>
            </w:r>
            <w:proofErr w:type="spellEnd"/>
            <w:r w:rsidR="00713796">
              <w:rPr>
                <w:sz w:val="16"/>
              </w:rPr>
              <w:t xml:space="preserve"> </w:t>
            </w:r>
            <w:proofErr w:type="spellStart"/>
            <w:r w:rsidR="00713796">
              <w:rPr>
                <w:sz w:val="16"/>
              </w:rPr>
              <w:t>vragen</w:t>
            </w:r>
            <w:proofErr w:type="spellEnd"/>
            <w:r w:rsidR="00713796">
              <w:rPr>
                <w:sz w:val="16"/>
              </w:rPr>
              <w:t xml:space="preserve"> </w:t>
            </w:r>
            <w:proofErr w:type="spellStart"/>
            <w:r w:rsidR="00713796">
              <w:rPr>
                <w:sz w:val="16"/>
              </w:rPr>
              <w:t>waarbij</w:t>
            </w:r>
            <w:proofErr w:type="spellEnd"/>
            <w:r w:rsidR="00713796">
              <w:rPr>
                <w:sz w:val="16"/>
              </w:rPr>
              <w:t xml:space="preserve"> </w:t>
            </w:r>
            <w:proofErr w:type="spellStart"/>
            <w:r w:rsidR="007442C7">
              <w:rPr>
                <w:sz w:val="16"/>
              </w:rPr>
              <w:t>kan</w:t>
            </w:r>
            <w:proofErr w:type="spellEnd"/>
            <w:r w:rsidR="007442C7">
              <w:rPr>
                <w:sz w:val="16"/>
              </w:rPr>
              <w:t xml:space="preserve"> </w:t>
            </w:r>
            <w:proofErr w:type="spellStart"/>
            <w:r w:rsidR="007442C7">
              <w:rPr>
                <w:sz w:val="16"/>
              </w:rPr>
              <w:t>wo</w:t>
            </w:r>
            <w:r w:rsidR="00713796">
              <w:rPr>
                <w:sz w:val="16"/>
              </w:rPr>
              <w:t>rden</w:t>
            </w:r>
            <w:proofErr w:type="spellEnd"/>
            <w:r w:rsidR="00713796">
              <w:rPr>
                <w:sz w:val="16"/>
              </w:rPr>
              <w:t xml:space="preserve"> </w:t>
            </w:r>
            <w:proofErr w:type="spellStart"/>
            <w:r w:rsidR="00713796">
              <w:rPr>
                <w:sz w:val="16"/>
              </w:rPr>
              <w:t>nageg</w:t>
            </w:r>
            <w:r w:rsidR="007442C7">
              <w:rPr>
                <w:sz w:val="16"/>
              </w:rPr>
              <w:t>aan</w:t>
            </w:r>
            <w:proofErr w:type="spellEnd"/>
            <w:r w:rsidR="007442C7">
              <w:rPr>
                <w:sz w:val="16"/>
              </w:rPr>
              <w:t xml:space="preserve"> door de </w:t>
            </w:r>
            <w:proofErr w:type="spellStart"/>
            <w:r w:rsidR="007442C7">
              <w:rPr>
                <w:sz w:val="16"/>
              </w:rPr>
              <w:t>cursist</w:t>
            </w:r>
            <w:proofErr w:type="spellEnd"/>
            <w:r w:rsidR="007442C7">
              <w:rPr>
                <w:sz w:val="16"/>
              </w:rPr>
              <w:t xml:space="preserve"> of </w:t>
            </w:r>
            <w:proofErr w:type="spellStart"/>
            <w:r w:rsidR="007442C7">
              <w:rPr>
                <w:sz w:val="16"/>
              </w:rPr>
              <w:t>hij</w:t>
            </w:r>
            <w:proofErr w:type="spellEnd"/>
            <w:r w:rsidR="007442C7">
              <w:rPr>
                <w:sz w:val="16"/>
              </w:rPr>
              <w:t>/</w:t>
            </w:r>
            <w:proofErr w:type="spellStart"/>
            <w:r w:rsidR="007442C7">
              <w:rPr>
                <w:sz w:val="16"/>
              </w:rPr>
              <w:t>zij</w:t>
            </w:r>
            <w:proofErr w:type="spellEnd"/>
            <w:r w:rsidR="007442C7">
              <w:rPr>
                <w:sz w:val="16"/>
              </w:rPr>
              <w:t xml:space="preserve"> de </w:t>
            </w:r>
            <w:proofErr w:type="spellStart"/>
            <w:r w:rsidR="007442C7">
              <w:rPr>
                <w:sz w:val="16"/>
              </w:rPr>
              <w:t>stof</w:t>
            </w:r>
            <w:proofErr w:type="spellEnd"/>
            <w:r w:rsidR="007442C7">
              <w:rPr>
                <w:sz w:val="16"/>
              </w:rPr>
              <w:t xml:space="preserve"> </w:t>
            </w:r>
            <w:proofErr w:type="spellStart"/>
            <w:r w:rsidR="007442C7">
              <w:rPr>
                <w:sz w:val="16"/>
              </w:rPr>
              <w:t>voldoende</w:t>
            </w:r>
            <w:proofErr w:type="spellEnd"/>
            <w:r w:rsidR="007442C7">
              <w:rPr>
                <w:sz w:val="16"/>
              </w:rPr>
              <w:t xml:space="preserve"> </w:t>
            </w:r>
            <w:proofErr w:type="spellStart"/>
            <w:r w:rsidR="007442C7">
              <w:rPr>
                <w:sz w:val="16"/>
              </w:rPr>
              <w:t>heeft</w:t>
            </w:r>
            <w:proofErr w:type="spellEnd"/>
            <w:r w:rsidR="007442C7">
              <w:rPr>
                <w:sz w:val="16"/>
              </w:rPr>
              <w:t xml:space="preserve"> </w:t>
            </w:r>
            <w:proofErr w:type="spellStart"/>
            <w:r w:rsidR="007442C7">
              <w:rPr>
                <w:sz w:val="16"/>
              </w:rPr>
              <w:t>begrepen</w:t>
            </w:r>
            <w:proofErr w:type="spellEnd"/>
            <w:r w:rsidR="007442C7">
              <w:rPr>
                <w:sz w:val="16"/>
              </w:rPr>
              <w:t xml:space="preserve">. </w:t>
            </w:r>
            <w:r w:rsidR="00713796">
              <w:rPr>
                <w:sz w:val="16"/>
              </w:rPr>
              <w:t>De</w:t>
            </w:r>
            <w:r w:rsidR="008C68AB">
              <w:rPr>
                <w:sz w:val="16"/>
              </w:rPr>
              <w:t xml:space="preserve"> </w:t>
            </w:r>
            <w:proofErr w:type="spellStart"/>
            <w:r w:rsidR="008C68AB">
              <w:rPr>
                <w:sz w:val="16"/>
              </w:rPr>
              <w:t>kennis</w:t>
            </w:r>
            <w:proofErr w:type="spellEnd"/>
            <w:r w:rsidR="008C68AB">
              <w:rPr>
                <w:sz w:val="16"/>
              </w:rPr>
              <w:t xml:space="preserve"> </w:t>
            </w:r>
            <w:proofErr w:type="spellStart"/>
            <w:r w:rsidR="008C68AB">
              <w:rPr>
                <w:sz w:val="16"/>
              </w:rPr>
              <w:t>opgedaan</w:t>
            </w:r>
            <w:proofErr w:type="spellEnd"/>
            <w:r w:rsidR="008C68AB">
              <w:rPr>
                <w:sz w:val="16"/>
              </w:rPr>
              <w:t xml:space="preserve"> </w:t>
            </w:r>
            <w:proofErr w:type="spellStart"/>
            <w:r w:rsidR="008C68AB">
              <w:rPr>
                <w:sz w:val="16"/>
              </w:rPr>
              <w:t>uit</w:t>
            </w:r>
            <w:proofErr w:type="spellEnd"/>
            <w:r w:rsidR="008C68AB">
              <w:rPr>
                <w:sz w:val="16"/>
              </w:rPr>
              <w:t xml:space="preserve"> </w:t>
            </w:r>
            <w:proofErr w:type="spellStart"/>
            <w:r w:rsidR="008C68AB">
              <w:rPr>
                <w:sz w:val="16"/>
              </w:rPr>
              <w:t>deze</w:t>
            </w:r>
            <w:proofErr w:type="spellEnd"/>
            <w:r w:rsidR="008C68AB">
              <w:rPr>
                <w:sz w:val="16"/>
              </w:rPr>
              <w:t xml:space="preserve"> </w:t>
            </w:r>
            <w:proofErr w:type="spellStart"/>
            <w:r w:rsidR="008C68AB">
              <w:rPr>
                <w:sz w:val="16"/>
              </w:rPr>
              <w:t>hoofdstukken</w:t>
            </w:r>
            <w:proofErr w:type="spellEnd"/>
            <w:r w:rsidR="008C68AB">
              <w:rPr>
                <w:sz w:val="16"/>
              </w:rPr>
              <w:t xml:space="preserve"> van het </w:t>
            </w:r>
            <w:proofErr w:type="spellStart"/>
            <w:r w:rsidR="008C68AB">
              <w:rPr>
                <w:sz w:val="16"/>
              </w:rPr>
              <w:t>boek</w:t>
            </w:r>
            <w:proofErr w:type="spellEnd"/>
            <w:r w:rsidR="008C68AB">
              <w:rPr>
                <w:sz w:val="16"/>
              </w:rPr>
              <w:t xml:space="preserve"> is het </w:t>
            </w:r>
            <w:proofErr w:type="spellStart"/>
            <w:r w:rsidR="008C68AB">
              <w:rPr>
                <w:sz w:val="16"/>
              </w:rPr>
              <w:t>uitgangspunt</w:t>
            </w:r>
            <w:proofErr w:type="spellEnd"/>
            <w:r w:rsidR="008C68AB">
              <w:rPr>
                <w:sz w:val="16"/>
              </w:rPr>
              <w:t xml:space="preserve"> en </w:t>
            </w:r>
            <w:proofErr w:type="spellStart"/>
            <w:r w:rsidR="008C68AB">
              <w:rPr>
                <w:sz w:val="16"/>
              </w:rPr>
              <w:t>ingangsniveau</w:t>
            </w:r>
            <w:proofErr w:type="spellEnd"/>
            <w:r w:rsidR="008C68AB">
              <w:rPr>
                <w:sz w:val="16"/>
              </w:rPr>
              <w:t xml:space="preserve"> van de </w:t>
            </w:r>
            <w:proofErr w:type="spellStart"/>
            <w:r w:rsidR="008C68AB">
              <w:rPr>
                <w:sz w:val="16"/>
              </w:rPr>
              <w:t>eerste</w:t>
            </w:r>
            <w:proofErr w:type="spellEnd"/>
            <w:r w:rsidR="008C68AB">
              <w:rPr>
                <w:sz w:val="16"/>
              </w:rPr>
              <w:t xml:space="preserve"> </w:t>
            </w:r>
            <w:proofErr w:type="spellStart"/>
            <w:r w:rsidR="008C68AB">
              <w:rPr>
                <w:sz w:val="16"/>
              </w:rPr>
              <w:t>cursusdag</w:t>
            </w:r>
            <w:proofErr w:type="spellEnd"/>
            <w:r w:rsidR="008C68AB">
              <w:rPr>
                <w:sz w:val="16"/>
              </w:rPr>
              <w:t xml:space="preserve"> en </w:t>
            </w:r>
            <w:proofErr w:type="spellStart"/>
            <w:r w:rsidR="008C68AB">
              <w:rPr>
                <w:sz w:val="16"/>
              </w:rPr>
              <w:t>wordt</w:t>
            </w:r>
            <w:proofErr w:type="spellEnd"/>
            <w:r w:rsidR="008C68AB">
              <w:rPr>
                <w:sz w:val="16"/>
              </w:rPr>
              <w:t xml:space="preserve"> </w:t>
            </w:r>
            <w:proofErr w:type="spellStart"/>
            <w:r w:rsidR="008C68AB">
              <w:rPr>
                <w:sz w:val="16"/>
              </w:rPr>
              <w:t>dus</w:t>
            </w:r>
            <w:proofErr w:type="spellEnd"/>
            <w:r w:rsidR="008C68AB">
              <w:rPr>
                <w:sz w:val="16"/>
              </w:rPr>
              <w:t xml:space="preserve"> al </w:t>
            </w:r>
            <w:proofErr w:type="spellStart"/>
            <w:r w:rsidR="008C68AB">
              <w:rPr>
                <w:sz w:val="16"/>
              </w:rPr>
              <w:t>bekend</w:t>
            </w:r>
            <w:proofErr w:type="spellEnd"/>
            <w:r w:rsidR="008C68AB">
              <w:rPr>
                <w:sz w:val="16"/>
              </w:rPr>
              <w:t xml:space="preserve"> </w:t>
            </w:r>
            <w:proofErr w:type="spellStart"/>
            <w:r w:rsidR="008C68AB">
              <w:rPr>
                <w:sz w:val="16"/>
              </w:rPr>
              <w:t>verondersteld</w:t>
            </w:r>
            <w:proofErr w:type="spellEnd"/>
          </w:p>
          <w:p w:rsidR="00713796" w:rsidRDefault="00713796" w:rsidP="00713796">
            <w:pPr>
              <w:pStyle w:val="TableParagraph"/>
              <w:spacing w:before="0"/>
              <w:ind w:left="61" w:right="162"/>
              <w:rPr>
                <w:sz w:val="16"/>
              </w:rPr>
            </w:pPr>
          </w:p>
        </w:tc>
        <w:tc>
          <w:tcPr>
            <w:tcW w:w="2268" w:type="dxa"/>
          </w:tcPr>
          <w:p w:rsidR="003461F6" w:rsidRDefault="003461F6" w:rsidP="00936AC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3461F6" w:rsidTr="00936ACC">
        <w:trPr>
          <w:trHeight w:val="1959"/>
        </w:trPr>
        <w:tc>
          <w:tcPr>
            <w:tcW w:w="2268" w:type="dxa"/>
          </w:tcPr>
          <w:p w:rsidR="003461F6" w:rsidRDefault="003461F6" w:rsidP="00936ACC">
            <w:pPr>
              <w:pStyle w:val="TableParagraph"/>
              <w:ind w:right="206"/>
              <w:rPr>
                <w:sz w:val="16"/>
              </w:rPr>
            </w:pPr>
            <w:proofErr w:type="spellStart"/>
            <w:r>
              <w:rPr>
                <w:sz w:val="16"/>
              </w:rPr>
              <w:t>Deel</w:t>
            </w:r>
            <w:proofErr w:type="spellEnd"/>
            <w:r>
              <w:rPr>
                <w:sz w:val="16"/>
              </w:rPr>
              <w:t xml:space="preserve"> 1 E-learning module in de </w:t>
            </w:r>
            <w:proofErr w:type="spellStart"/>
            <w:r>
              <w:rPr>
                <w:sz w:val="16"/>
              </w:rPr>
              <w:t>electronische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leeromgeving</w:t>
            </w:r>
            <w:proofErr w:type="spellEnd"/>
            <w:r>
              <w:rPr>
                <w:sz w:val="16"/>
              </w:rPr>
              <w:t xml:space="preserve"> van het NPi (</w:t>
            </w:r>
            <w:proofErr w:type="spellStart"/>
            <w:r>
              <w:rPr>
                <w:sz w:val="16"/>
              </w:rPr>
              <w:t>voorafgaand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eerste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fysieke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cursusdag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68" w:type="dxa"/>
          </w:tcPr>
          <w:p w:rsidR="003461F6" w:rsidRDefault="003461F6" w:rsidP="00936AC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268" w:type="dxa"/>
          </w:tcPr>
          <w:p w:rsidR="00713796" w:rsidRPr="00713796" w:rsidRDefault="003461F6" w:rsidP="00713796">
            <w:pPr>
              <w:pStyle w:val="TableParagraph"/>
              <w:ind w:left="61" w:right="82"/>
              <w:rPr>
                <w:bCs/>
                <w:sz w:val="16"/>
                <w:lang w:val="nl-NL"/>
              </w:rPr>
            </w:pPr>
            <w:r>
              <w:rPr>
                <w:sz w:val="16"/>
              </w:rPr>
              <w:t xml:space="preserve">Ter </w:t>
            </w:r>
            <w:proofErr w:type="spellStart"/>
            <w:r>
              <w:rPr>
                <w:sz w:val="16"/>
              </w:rPr>
              <w:t>voorbereiding</w:t>
            </w:r>
            <w:proofErr w:type="spellEnd"/>
            <w:r>
              <w:rPr>
                <w:sz w:val="16"/>
              </w:rPr>
              <w:t xml:space="preserve"> op de </w:t>
            </w:r>
            <w:proofErr w:type="spellStart"/>
            <w:r>
              <w:rPr>
                <w:sz w:val="16"/>
              </w:rPr>
              <w:t>eerste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cursusbijeenkomst</w:t>
            </w:r>
            <w:proofErr w:type="spellEnd"/>
            <w:r>
              <w:rPr>
                <w:sz w:val="16"/>
              </w:rPr>
              <w:t xml:space="preserve"> is het de </w:t>
            </w:r>
            <w:proofErr w:type="spellStart"/>
            <w:r>
              <w:rPr>
                <w:sz w:val="16"/>
              </w:rPr>
              <w:t>bedoeling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cursist</w:t>
            </w:r>
            <w:proofErr w:type="spellEnd"/>
            <w:r>
              <w:rPr>
                <w:sz w:val="16"/>
              </w:rPr>
              <w:t xml:space="preserve"> de rode </w:t>
            </w:r>
            <w:proofErr w:type="spellStart"/>
            <w:r>
              <w:rPr>
                <w:sz w:val="16"/>
              </w:rPr>
              <w:t>draad</w:t>
            </w:r>
            <w:proofErr w:type="spellEnd"/>
            <w:r>
              <w:rPr>
                <w:sz w:val="16"/>
              </w:rPr>
              <w:t xml:space="preserve"> casus (</w:t>
            </w:r>
            <w:proofErr w:type="spellStart"/>
            <w:r>
              <w:rPr>
                <w:sz w:val="16"/>
              </w:rPr>
              <w:t>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bijlage</w:t>
            </w:r>
            <w:proofErr w:type="spellEnd"/>
            <w:r>
              <w:rPr>
                <w:sz w:val="16"/>
              </w:rPr>
              <w:t xml:space="preserve"> 2) </w:t>
            </w:r>
            <w:proofErr w:type="spellStart"/>
            <w:r>
              <w:rPr>
                <w:sz w:val="16"/>
              </w:rPr>
              <w:t>goed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bestudeert</w:t>
            </w:r>
            <w:proofErr w:type="spellEnd"/>
            <w:r>
              <w:rPr>
                <w:sz w:val="16"/>
              </w:rPr>
              <w:t xml:space="preserve"> en </w:t>
            </w:r>
            <w:proofErr w:type="spellStart"/>
            <w:r>
              <w:rPr>
                <w:sz w:val="16"/>
              </w:rPr>
              <w:t>inhoudelijk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voorbereidt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Tijdens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eerste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cursusdag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casus in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interactieve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besproken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worden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waarb</w:t>
            </w:r>
            <w:r w:rsidR="00713796">
              <w:rPr>
                <w:sz w:val="16"/>
              </w:rPr>
              <w:t>ij</w:t>
            </w:r>
            <w:proofErr w:type="spellEnd"/>
            <w:r w:rsidR="00713796">
              <w:rPr>
                <w:sz w:val="16"/>
              </w:rPr>
              <w:t xml:space="preserve"> </w:t>
            </w:r>
            <w:r w:rsidR="00713796">
              <w:rPr>
                <w:bCs/>
                <w:sz w:val="16"/>
                <w:lang w:val="nl-NL"/>
              </w:rPr>
              <w:t>er van wordt uitgegaan dat de cursist</w:t>
            </w:r>
            <w:r w:rsidR="00713796" w:rsidRPr="00713796">
              <w:rPr>
                <w:bCs/>
                <w:sz w:val="16"/>
                <w:lang w:val="nl-NL"/>
              </w:rPr>
              <w:t xml:space="preserve"> de casus bestudeerd heeft. De casus zal op verschillende momenten tijdens de cursus ‘als rode draad casus’ terugkeren</w:t>
            </w:r>
          </w:p>
          <w:p w:rsidR="003461F6" w:rsidRDefault="003461F6" w:rsidP="00936ACC">
            <w:pPr>
              <w:pStyle w:val="TableParagraph"/>
              <w:ind w:left="61" w:right="82"/>
              <w:rPr>
                <w:sz w:val="16"/>
              </w:rPr>
            </w:pPr>
          </w:p>
        </w:tc>
        <w:tc>
          <w:tcPr>
            <w:tcW w:w="2268" w:type="dxa"/>
          </w:tcPr>
          <w:p w:rsidR="003461F6" w:rsidRDefault="003461F6" w:rsidP="00936AC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3461F6" w:rsidTr="00936ACC">
        <w:trPr>
          <w:trHeight w:val="1959"/>
        </w:trPr>
        <w:tc>
          <w:tcPr>
            <w:tcW w:w="2268" w:type="dxa"/>
          </w:tcPr>
          <w:p w:rsidR="003461F6" w:rsidRDefault="003461F6" w:rsidP="00936ACC">
            <w:pPr>
              <w:pStyle w:val="TableParagraph"/>
              <w:ind w:right="206"/>
              <w:rPr>
                <w:sz w:val="16"/>
              </w:rPr>
            </w:pPr>
            <w:proofErr w:type="spellStart"/>
            <w:r>
              <w:rPr>
                <w:sz w:val="16"/>
              </w:rPr>
              <w:t>Deel</w:t>
            </w:r>
            <w:proofErr w:type="spellEnd"/>
            <w:r>
              <w:rPr>
                <w:sz w:val="16"/>
              </w:rPr>
              <w:t xml:space="preserve"> 2 E-learning module in de </w:t>
            </w:r>
            <w:proofErr w:type="spellStart"/>
            <w:r>
              <w:rPr>
                <w:sz w:val="16"/>
              </w:rPr>
              <w:t>electronische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leeromgeving</w:t>
            </w:r>
            <w:proofErr w:type="spellEnd"/>
            <w:r>
              <w:rPr>
                <w:sz w:val="16"/>
              </w:rPr>
              <w:t xml:space="preserve"> van het NPi (</w:t>
            </w:r>
            <w:proofErr w:type="spellStart"/>
            <w:r>
              <w:rPr>
                <w:sz w:val="16"/>
              </w:rPr>
              <w:t>tussen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eerste</w:t>
            </w:r>
            <w:proofErr w:type="spellEnd"/>
            <w:r>
              <w:rPr>
                <w:sz w:val="16"/>
              </w:rPr>
              <w:t xml:space="preserve"> en </w:t>
            </w:r>
            <w:proofErr w:type="spellStart"/>
            <w:r>
              <w:rPr>
                <w:sz w:val="16"/>
              </w:rPr>
              <w:t>tweede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fysieke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cursusdag</w:t>
            </w:r>
            <w:proofErr w:type="spellEnd"/>
            <w:r>
              <w:rPr>
                <w:sz w:val="16"/>
              </w:rPr>
              <w:t xml:space="preserve"> in)</w:t>
            </w:r>
          </w:p>
        </w:tc>
        <w:tc>
          <w:tcPr>
            <w:tcW w:w="2268" w:type="dxa"/>
          </w:tcPr>
          <w:p w:rsidR="003461F6" w:rsidRDefault="003461F6" w:rsidP="00936AC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268" w:type="dxa"/>
          </w:tcPr>
          <w:p w:rsidR="003461F6" w:rsidRDefault="00713796" w:rsidP="00936ACC">
            <w:pPr>
              <w:pStyle w:val="TableParagraph"/>
              <w:ind w:left="61" w:right="199"/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3461F6">
              <w:rPr>
                <w:sz w:val="16"/>
              </w:rPr>
              <w:t>estuderen</w:t>
            </w:r>
            <w:proofErr w:type="spellEnd"/>
            <w:r w:rsidR="003461F6">
              <w:rPr>
                <w:sz w:val="16"/>
              </w:rPr>
              <w:t xml:space="preserve"> van de </w:t>
            </w:r>
            <w:proofErr w:type="spellStart"/>
            <w:r w:rsidR="003461F6">
              <w:rPr>
                <w:sz w:val="16"/>
              </w:rPr>
              <w:t>meetinstrumenten</w:t>
            </w:r>
            <w:proofErr w:type="spellEnd"/>
            <w:r w:rsidR="003461F6">
              <w:rPr>
                <w:sz w:val="16"/>
              </w:rPr>
              <w:t xml:space="preserve"> 6 MWT,DEMMI, FAC, MILAS, MRCSUMSCORE, TUG en</w:t>
            </w:r>
          </w:p>
          <w:p w:rsidR="003461F6" w:rsidRDefault="003461F6" w:rsidP="00936ACC">
            <w:pPr>
              <w:pStyle w:val="TableParagraph"/>
              <w:spacing w:before="0"/>
              <w:ind w:left="61" w:right="56"/>
              <w:rPr>
                <w:sz w:val="16"/>
              </w:rPr>
            </w:pP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resaerch</w:t>
            </w:r>
            <w:proofErr w:type="spellEnd"/>
            <w:r>
              <w:rPr>
                <w:sz w:val="16"/>
              </w:rPr>
              <w:t xml:space="preserve"> report over het </w:t>
            </w:r>
            <w:proofErr w:type="spellStart"/>
            <w:r>
              <w:rPr>
                <w:sz w:val="16"/>
              </w:rPr>
              <w:t>gebruik</w:t>
            </w:r>
            <w:proofErr w:type="spellEnd"/>
            <w:r>
              <w:rPr>
                <w:sz w:val="16"/>
              </w:rPr>
              <w:t xml:space="preserve"> van </w:t>
            </w:r>
            <w:proofErr w:type="spellStart"/>
            <w:r>
              <w:rPr>
                <w:sz w:val="16"/>
              </w:rPr>
              <w:t>functionele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testen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patienten</w:t>
            </w:r>
            <w:proofErr w:type="spellEnd"/>
            <w:r>
              <w:rPr>
                <w:sz w:val="16"/>
              </w:rPr>
              <w:t xml:space="preserve"> met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gewrichtsvervanging</w:t>
            </w:r>
            <w:proofErr w:type="spellEnd"/>
            <w:r>
              <w:rPr>
                <w:sz w:val="16"/>
              </w:rPr>
              <w:t xml:space="preserve"> (Shields et.al). De </w:t>
            </w:r>
            <w:proofErr w:type="spellStart"/>
            <w:r>
              <w:rPr>
                <w:sz w:val="16"/>
              </w:rPr>
              <w:t>cursist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krijg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hierbij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opdracht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items </w:t>
            </w:r>
            <w:proofErr w:type="spellStart"/>
            <w:r>
              <w:rPr>
                <w:sz w:val="16"/>
              </w:rPr>
              <w:t>bi</w:t>
            </w:r>
            <w:r w:rsidR="00713796">
              <w:rPr>
                <w:sz w:val="16"/>
              </w:rPr>
              <w:t>j</w:t>
            </w:r>
            <w:proofErr w:type="spellEnd"/>
            <w:r w:rsidR="00713796">
              <w:rPr>
                <w:sz w:val="16"/>
              </w:rPr>
              <w:t xml:space="preserve"> </w:t>
            </w:r>
            <w:proofErr w:type="spellStart"/>
            <w:r w:rsidR="00713796">
              <w:rPr>
                <w:sz w:val="16"/>
              </w:rPr>
              <w:t>aanvang</w:t>
            </w:r>
            <w:proofErr w:type="spellEnd"/>
            <w:r w:rsidR="00713796">
              <w:rPr>
                <w:sz w:val="16"/>
              </w:rPr>
              <w:t xml:space="preserve"> van de </w:t>
            </w:r>
            <w:proofErr w:type="spellStart"/>
            <w:r w:rsidR="00713796">
              <w:rPr>
                <w:sz w:val="16"/>
              </w:rPr>
              <w:t>tweede</w:t>
            </w:r>
            <w:proofErr w:type="spellEnd"/>
            <w:r w:rsidR="00713796">
              <w:rPr>
                <w:sz w:val="16"/>
              </w:rPr>
              <w:t xml:space="preserve"> </w:t>
            </w:r>
            <w:proofErr w:type="spellStart"/>
            <w:r w:rsidR="00713796">
              <w:rPr>
                <w:sz w:val="16"/>
              </w:rPr>
              <w:t>cursusdag</w:t>
            </w:r>
            <w:proofErr w:type="spellEnd"/>
            <w:r w:rsidR="00713796">
              <w:rPr>
                <w:sz w:val="16"/>
              </w:rPr>
              <w:t xml:space="preserve"> </w:t>
            </w:r>
            <w:proofErr w:type="spellStart"/>
            <w:r w:rsidR="00713796">
              <w:rPr>
                <w:sz w:val="16"/>
              </w:rPr>
              <w:t>als</w:t>
            </w:r>
            <w:proofErr w:type="spellEnd"/>
            <w:r w:rsidR="00713796">
              <w:rPr>
                <w:sz w:val="16"/>
              </w:rPr>
              <w:t xml:space="preserve"> </w:t>
            </w:r>
            <w:proofErr w:type="spellStart"/>
            <w:r w:rsidR="00713796">
              <w:rPr>
                <w:sz w:val="16"/>
              </w:rPr>
              <w:t>bekend</w:t>
            </w:r>
            <w:proofErr w:type="spellEnd"/>
            <w:r w:rsidR="00713796">
              <w:rPr>
                <w:sz w:val="16"/>
              </w:rPr>
              <w:t xml:space="preserve"> </w:t>
            </w:r>
            <w:proofErr w:type="spellStart"/>
            <w:r w:rsidR="00713796">
              <w:rPr>
                <w:sz w:val="16"/>
              </w:rPr>
              <w:t>worden</w:t>
            </w:r>
            <w:proofErr w:type="spellEnd"/>
            <w:r w:rsidR="00713796">
              <w:rPr>
                <w:sz w:val="16"/>
              </w:rPr>
              <w:t xml:space="preserve"> </w:t>
            </w:r>
            <w:proofErr w:type="spellStart"/>
            <w:r w:rsidR="00713796">
              <w:rPr>
                <w:sz w:val="16"/>
              </w:rPr>
              <w:t>verondersteld</w:t>
            </w:r>
            <w:proofErr w:type="spellEnd"/>
          </w:p>
        </w:tc>
        <w:tc>
          <w:tcPr>
            <w:tcW w:w="2268" w:type="dxa"/>
          </w:tcPr>
          <w:p w:rsidR="003461F6" w:rsidRDefault="003461F6" w:rsidP="00936AC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3461F6" w:rsidTr="00936ACC">
        <w:trPr>
          <w:trHeight w:val="1959"/>
        </w:trPr>
        <w:tc>
          <w:tcPr>
            <w:tcW w:w="2268" w:type="dxa"/>
          </w:tcPr>
          <w:p w:rsidR="003461F6" w:rsidRDefault="003461F6" w:rsidP="00936ACC">
            <w:pPr>
              <w:pStyle w:val="TableParagraph"/>
              <w:ind w:right="206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Deel</w:t>
            </w:r>
            <w:proofErr w:type="spellEnd"/>
            <w:r>
              <w:rPr>
                <w:sz w:val="16"/>
              </w:rPr>
              <w:t xml:space="preserve"> 2 E-learning module in de </w:t>
            </w:r>
            <w:proofErr w:type="spellStart"/>
            <w:r>
              <w:rPr>
                <w:sz w:val="16"/>
              </w:rPr>
              <w:t>electronische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leeromgeving</w:t>
            </w:r>
            <w:proofErr w:type="spellEnd"/>
            <w:r>
              <w:rPr>
                <w:sz w:val="16"/>
              </w:rPr>
              <w:t xml:space="preserve"> van het NPi (</w:t>
            </w:r>
            <w:proofErr w:type="spellStart"/>
            <w:r>
              <w:rPr>
                <w:sz w:val="16"/>
              </w:rPr>
              <w:t>tussen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eerste</w:t>
            </w:r>
            <w:proofErr w:type="spellEnd"/>
            <w:r>
              <w:rPr>
                <w:sz w:val="16"/>
              </w:rPr>
              <w:t xml:space="preserve"> en </w:t>
            </w:r>
            <w:proofErr w:type="spellStart"/>
            <w:r>
              <w:rPr>
                <w:sz w:val="16"/>
              </w:rPr>
              <w:t>tweede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fysieke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cursusdag</w:t>
            </w:r>
            <w:proofErr w:type="spellEnd"/>
            <w:r>
              <w:rPr>
                <w:sz w:val="16"/>
              </w:rPr>
              <w:t xml:space="preserve"> in)</w:t>
            </w:r>
          </w:p>
        </w:tc>
        <w:tc>
          <w:tcPr>
            <w:tcW w:w="2268" w:type="dxa"/>
          </w:tcPr>
          <w:p w:rsidR="003461F6" w:rsidRDefault="003461F6" w:rsidP="00936AC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268" w:type="dxa"/>
          </w:tcPr>
          <w:p w:rsidR="003461F6" w:rsidRDefault="003461F6" w:rsidP="00936ACC">
            <w:pPr>
              <w:pStyle w:val="TableParagraph"/>
              <w:ind w:left="61" w:right="118"/>
              <w:rPr>
                <w:sz w:val="16"/>
              </w:rPr>
            </w:pPr>
            <w:proofErr w:type="spellStart"/>
            <w:r>
              <w:rPr>
                <w:sz w:val="16"/>
              </w:rPr>
              <w:t>bestuderen</w:t>
            </w:r>
            <w:proofErr w:type="spellEnd"/>
            <w:r>
              <w:rPr>
                <w:sz w:val="16"/>
              </w:rPr>
              <w:t xml:space="preserve"> en </w:t>
            </w:r>
            <w:proofErr w:type="spellStart"/>
            <w:r>
              <w:rPr>
                <w:sz w:val="16"/>
              </w:rPr>
              <w:t>voorbereiden</w:t>
            </w:r>
            <w:proofErr w:type="spellEnd"/>
            <w:r>
              <w:rPr>
                <w:sz w:val="16"/>
              </w:rPr>
              <w:t xml:space="preserve"> van 3 </w:t>
            </w:r>
            <w:proofErr w:type="spellStart"/>
            <w:r>
              <w:rPr>
                <w:sz w:val="16"/>
              </w:rPr>
              <w:t>casussen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bijlagen</w:t>
            </w:r>
            <w:proofErr w:type="spellEnd"/>
            <w:r>
              <w:rPr>
                <w:sz w:val="16"/>
              </w:rPr>
              <w:t xml:space="preserve"> 2,6 en 7) die op de 2e </w:t>
            </w:r>
            <w:proofErr w:type="spellStart"/>
            <w:r>
              <w:rPr>
                <w:sz w:val="16"/>
              </w:rPr>
              <w:t>cursusdag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tijdens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casuistiek</w:t>
            </w:r>
            <w:proofErr w:type="spellEnd"/>
            <w:r w:rsidR="00713796">
              <w:rPr>
                <w:sz w:val="16"/>
              </w:rPr>
              <w:t xml:space="preserve"> (</w:t>
            </w:r>
            <w:proofErr w:type="spellStart"/>
            <w:r w:rsidR="00713796">
              <w:rPr>
                <w:sz w:val="16"/>
              </w:rPr>
              <w:t>zie</w:t>
            </w:r>
            <w:proofErr w:type="spellEnd"/>
            <w:r w:rsidR="00713796">
              <w:rPr>
                <w:sz w:val="16"/>
              </w:rPr>
              <w:t xml:space="preserve"> </w:t>
            </w:r>
            <w:proofErr w:type="spellStart"/>
            <w:r w:rsidR="00713796">
              <w:rPr>
                <w:sz w:val="16"/>
              </w:rPr>
              <w:t>programma</w:t>
            </w:r>
            <w:proofErr w:type="spellEnd"/>
            <w:r w:rsidR="00713796">
              <w:rPr>
                <w:sz w:val="16"/>
              </w:rPr>
              <w:t xml:space="preserve"> </w:t>
            </w:r>
            <w:proofErr w:type="spellStart"/>
            <w:r w:rsidR="00713796">
              <w:rPr>
                <w:sz w:val="16"/>
              </w:rPr>
              <w:t>tweede</w:t>
            </w:r>
            <w:proofErr w:type="spellEnd"/>
            <w:r w:rsidR="00713796">
              <w:rPr>
                <w:sz w:val="16"/>
              </w:rPr>
              <w:t xml:space="preserve"> </w:t>
            </w:r>
            <w:proofErr w:type="spellStart"/>
            <w:r w:rsidR="00713796">
              <w:rPr>
                <w:sz w:val="16"/>
              </w:rPr>
              <w:t>cursusdag</w:t>
            </w:r>
            <w:proofErr w:type="spellEnd"/>
            <w:r w:rsidR="00713796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besproken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worden</w:t>
            </w:r>
            <w:proofErr w:type="spellEnd"/>
          </w:p>
        </w:tc>
        <w:tc>
          <w:tcPr>
            <w:tcW w:w="2268" w:type="dxa"/>
          </w:tcPr>
          <w:p w:rsidR="003461F6" w:rsidRDefault="003461F6" w:rsidP="00936AC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3461F6" w:rsidTr="00936ACC">
        <w:trPr>
          <w:trHeight w:val="1959"/>
        </w:trPr>
        <w:tc>
          <w:tcPr>
            <w:tcW w:w="2268" w:type="dxa"/>
          </w:tcPr>
          <w:p w:rsidR="003461F6" w:rsidRDefault="003461F6" w:rsidP="00936ACC">
            <w:pPr>
              <w:pStyle w:val="TableParagraph"/>
              <w:ind w:right="206"/>
              <w:rPr>
                <w:sz w:val="16"/>
              </w:rPr>
            </w:pPr>
            <w:proofErr w:type="spellStart"/>
            <w:r>
              <w:rPr>
                <w:sz w:val="16"/>
              </w:rPr>
              <w:t>Deel</w:t>
            </w:r>
            <w:proofErr w:type="spellEnd"/>
            <w:r>
              <w:rPr>
                <w:sz w:val="16"/>
              </w:rPr>
              <w:t xml:space="preserve"> 2 E-learning module in de </w:t>
            </w:r>
            <w:proofErr w:type="spellStart"/>
            <w:r>
              <w:rPr>
                <w:sz w:val="16"/>
              </w:rPr>
              <w:t>electronische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leeromgeving</w:t>
            </w:r>
            <w:proofErr w:type="spellEnd"/>
            <w:r>
              <w:rPr>
                <w:sz w:val="16"/>
              </w:rPr>
              <w:t xml:space="preserve"> van het NPi (</w:t>
            </w:r>
            <w:proofErr w:type="spellStart"/>
            <w:r>
              <w:rPr>
                <w:sz w:val="16"/>
              </w:rPr>
              <w:t>tussen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eerste</w:t>
            </w:r>
            <w:proofErr w:type="spellEnd"/>
            <w:r>
              <w:rPr>
                <w:sz w:val="16"/>
              </w:rPr>
              <w:t xml:space="preserve"> en </w:t>
            </w:r>
            <w:proofErr w:type="spellStart"/>
            <w:r>
              <w:rPr>
                <w:sz w:val="16"/>
              </w:rPr>
              <w:t>tweede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fysieke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cursusdag</w:t>
            </w:r>
            <w:proofErr w:type="spellEnd"/>
            <w:r>
              <w:rPr>
                <w:sz w:val="16"/>
              </w:rPr>
              <w:t xml:space="preserve"> in)</w:t>
            </w:r>
          </w:p>
        </w:tc>
        <w:tc>
          <w:tcPr>
            <w:tcW w:w="2268" w:type="dxa"/>
          </w:tcPr>
          <w:p w:rsidR="003461F6" w:rsidRDefault="003461F6" w:rsidP="00936AC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268" w:type="dxa"/>
          </w:tcPr>
          <w:p w:rsidR="003461F6" w:rsidRDefault="007142C4" w:rsidP="00936ACC">
            <w:pPr>
              <w:pStyle w:val="TableParagraph"/>
              <w:ind w:left="61" w:right="52"/>
              <w:rPr>
                <w:sz w:val="16"/>
              </w:rPr>
            </w:pPr>
            <w:r>
              <w:rPr>
                <w:sz w:val="16"/>
              </w:rPr>
              <w:t>H</w:t>
            </w:r>
            <w:bookmarkStart w:id="0" w:name="_GoBack"/>
            <w:bookmarkEnd w:id="0"/>
            <w:r w:rsidR="003461F6">
              <w:rPr>
                <w:sz w:val="16"/>
              </w:rPr>
              <w:t xml:space="preserve">et </w:t>
            </w:r>
            <w:proofErr w:type="spellStart"/>
            <w:r w:rsidR="003461F6">
              <w:rPr>
                <w:sz w:val="16"/>
              </w:rPr>
              <w:t>beantwoorden</w:t>
            </w:r>
            <w:proofErr w:type="spellEnd"/>
            <w:r w:rsidR="003461F6">
              <w:rPr>
                <w:sz w:val="16"/>
              </w:rPr>
              <w:t xml:space="preserve"> van </w:t>
            </w:r>
            <w:proofErr w:type="spellStart"/>
            <w:r w:rsidR="003461F6">
              <w:rPr>
                <w:sz w:val="16"/>
              </w:rPr>
              <w:t>een</w:t>
            </w:r>
            <w:proofErr w:type="spellEnd"/>
            <w:r w:rsidR="003461F6">
              <w:rPr>
                <w:sz w:val="16"/>
              </w:rPr>
              <w:t xml:space="preserve"> </w:t>
            </w:r>
            <w:proofErr w:type="spellStart"/>
            <w:r w:rsidR="003461F6">
              <w:rPr>
                <w:sz w:val="16"/>
              </w:rPr>
              <w:t>drietal</w:t>
            </w:r>
            <w:proofErr w:type="spellEnd"/>
            <w:r w:rsidR="003461F6">
              <w:rPr>
                <w:sz w:val="16"/>
              </w:rPr>
              <w:t xml:space="preserve"> </w:t>
            </w:r>
            <w:proofErr w:type="spellStart"/>
            <w:r w:rsidR="003461F6">
              <w:rPr>
                <w:sz w:val="16"/>
              </w:rPr>
              <w:t>uitdagende</w:t>
            </w:r>
            <w:proofErr w:type="spellEnd"/>
            <w:r w:rsidR="003461F6">
              <w:rPr>
                <w:sz w:val="16"/>
              </w:rPr>
              <w:t xml:space="preserve"> en </w:t>
            </w:r>
            <w:proofErr w:type="spellStart"/>
            <w:r w:rsidR="003461F6">
              <w:rPr>
                <w:sz w:val="16"/>
              </w:rPr>
              <w:t>activerende</w:t>
            </w:r>
            <w:proofErr w:type="spellEnd"/>
            <w:r w:rsidR="003461F6">
              <w:rPr>
                <w:sz w:val="16"/>
              </w:rPr>
              <w:t xml:space="preserve"> </w:t>
            </w:r>
            <w:proofErr w:type="spellStart"/>
            <w:r w:rsidR="003461F6">
              <w:rPr>
                <w:sz w:val="16"/>
              </w:rPr>
              <w:t>vragen</w:t>
            </w:r>
            <w:proofErr w:type="spellEnd"/>
            <w:r w:rsidR="003461F6">
              <w:rPr>
                <w:sz w:val="16"/>
              </w:rPr>
              <w:t xml:space="preserve"> </w:t>
            </w:r>
            <w:proofErr w:type="spellStart"/>
            <w:r w:rsidR="003461F6">
              <w:rPr>
                <w:sz w:val="16"/>
              </w:rPr>
              <w:t>mbt</w:t>
            </w:r>
            <w:proofErr w:type="spellEnd"/>
            <w:r w:rsidR="003461F6">
              <w:rPr>
                <w:sz w:val="16"/>
              </w:rPr>
              <w:t xml:space="preserve"> het </w:t>
            </w:r>
            <w:proofErr w:type="spellStart"/>
            <w:r w:rsidR="003461F6">
              <w:rPr>
                <w:sz w:val="16"/>
              </w:rPr>
              <w:t>programma</w:t>
            </w:r>
            <w:proofErr w:type="spellEnd"/>
            <w:r w:rsidR="003461F6">
              <w:rPr>
                <w:sz w:val="16"/>
              </w:rPr>
              <w:t xml:space="preserve"> </w:t>
            </w:r>
            <w:proofErr w:type="spellStart"/>
            <w:r w:rsidR="003461F6">
              <w:rPr>
                <w:sz w:val="16"/>
              </w:rPr>
              <w:t>onderdeel</w:t>
            </w:r>
            <w:proofErr w:type="spellEnd"/>
            <w:r w:rsidR="003461F6">
              <w:rPr>
                <w:sz w:val="16"/>
              </w:rPr>
              <w:t xml:space="preserve"> 'De </w:t>
            </w:r>
            <w:proofErr w:type="spellStart"/>
            <w:r w:rsidR="003461F6">
              <w:rPr>
                <w:sz w:val="16"/>
              </w:rPr>
              <w:t>bewegende</w:t>
            </w:r>
            <w:proofErr w:type="spellEnd"/>
            <w:r w:rsidR="003461F6">
              <w:rPr>
                <w:sz w:val="16"/>
              </w:rPr>
              <w:t xml:space="preserve"> </w:t>
            </w:r>
            <w:proofErr w:type="spellStart"/>
            <w:r w:rsidR="003461F6">
              <w:rPr>
                <w:sz w:val="16"/>
              </w:rPr>
              <w:t>wereld</w:t>
            </w:r>
            <w:proofErr w:type="spellEnd"/>
            <w:r w:rsidR="003461F6">
              <w:rPr>
                <w:sz w:val="16"/>
              </w:rPr>
              <w:t xml:space="preserve"> van de </w:t>
            </w:r>
            <w:proofErr w:type="spellStart"/>
            <w:r w:rsidR="003461F6">
              <w:rPr>
                <w:sz w:val="16"/>
              </w:rPr>
              <w:t>ziekenhuis</w:t>
            </w:r>
            <w:proofErr w:type="spellEnd"/>
            <w:r w:rsidR="003461F6">
              <w:rPr>
                <w:sz w:val="16"/>
              </w:rPr>
              <w:t xml:space="preserve"> </w:t>
            </w:r>
            <w:proofErr w:type="spellStart"/>
            <w:r w:rsidR="003461F6">
              <w:rPr>
                <w:sz w:val="16"/>
              </w:rPr>
              <w:t>fysiotherapeut</w:t>
            </w:r>
            <w:proofErr w:type="spellEnd"/>
            <w:r w:rsidR="003461F6">
              <w:rPr>
                <w:sz w:val="16"/>
              </w:rPr>
              <w:t xml:space="preserve">'. De </w:t>
            </w:r>
            <w:proofErr w:type="spellStart"/>
            <w:r w:rsidR="003461F6">
              <w:rPr>
                <w:sz w:val="16"/>
              </w:rPr>
              <w:t>cursist</w:t>
            </w:r>
            <w:proofErr w:type="spellEnd"/>
            <w:r w:rsidR="003461F6">
              <w:rPr>
                <w:sz w:val="16"/>
              </w:rPr>
              <w:t xml:space="preserve"> </w:t>
            </w:r>
            <w:proofErr w:type="spellStart"/>
            <w:r w:rsidR="003461F6">
              <w:rPr>
                <w:sz w:val="16"/>
              </w:rPr>
              <w:t>dient</w:t>
            </w:r>
            <w:proofErr w:type="spellEnd"/>
            <w:r w:rsidR="003461F6">
              <w:rPr>
                <w:sz w:val="16"/>
              </w:rPr>
              <w:t xml:space="preserve"> </w:t>
            </w:r>
            <w:proofErr w:type="spellStart"/>
            <w:r w:rsidR="003461F6">
              <w:rPr>
                <w:sz w:val="16"/>
              </w:rPr>
              <w:t>deze</w:t>
            </w:r>
            <w:proofErr w:type="spellEnd"/>
            <w:r w:rsidR="003461F6">
              <w:rPr>
                <w:sz w:val="16"/>
              </w:rPr>
              <w:t xml:space="preserve"> </w:t>
            </w:r>
            <w:proofErr w:type="spellStart"/>
            <w:r w:rsidR="003461F6">
              <w:rPr>
                <w:sz w:val="16"/>
              </w:rPr>
              <w:t>antwoorden</w:t>
            </w:r>
            <w:proofErr w:type="spellEnd"/>
            <w:r w:rsidR="003461F6">
              <w:rPr>
                <w:sz w:val="16"/>
              </w:rPr>
              <w:t xml:space="preserve"> de 2e </w:t>
            </w:r>
            <w:proofErr w:type="spellStart"/>
            <w:r w:rsidR="003461F6">
              <w:rPr>
                <w:sz w:val="16"/>
              </w:rPr>
              <w:t>cursusdag</w:t>
            </w:r>
            <w:proofErr w:type="spellEnd"/>
            <w:r w:rsidR="003461F6">
              <w:rPr>
                <w:sz w:val="16"/>
              </w:rPr>
              <w:t xml:space="preserve"> </w:t>
            </w:r>
            <w:proofErr w:type="spellStart"/>
            <w:r w:rsidR="003461F6">
              <w:rPr>
                <w:sz w:val="16"/>
              </w:rPr>
              <w:t>uitgewerkt</w:t>
            </w:r>
            <w:proofErr w:type="spellEnd"/>
            <w:r w:rsidR="003461F6">
              <w:rPr>
                <w:sz w:val="16"/>
              </w:rPr>
              <w:t xml:space="preserve"> </w:t>
            </w:r>
            <w:proofErr w:type="spellStart"/>
            <w:r w:rsidR="003461F6">
              <w:rPr>
                <w:sz w:val="16"/>
              </w:rPr>
              <w:t>mee</w:t>
            </w:r>
            <w:proofErr w:type="spellEnd"/>
            <w:r w:rsidR="003461F6">
              <w:rPr>
                <w:sz w:val="16"/>
              </w:rPr>
              <w:t xml:space="preserve"> te </w:t>
            </w:r>
            <w:proofErr w:type="spellStart"/>
            <w:r w:rsidR="003461F6">
              <w:rPr>
                <w:sz w:val="16"/>
              </w:rPr>
              <w:t>nemen</w:t>
            </w:r>
            <w:proofErr w:type="spellEnd"/>
          </w:p>
        </w:tc>
        <w:tc>
          <w:tcPr>
            <w:tcW w:w="2268" w:type="dxa"/>
          </w:tcPr>
          <w:p w:rsidR="003461F6" w:rsidRDefault="003461F6" w:rsidP="00936AC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</w:tbl>
    <w:p w:rsidR="003461F6" w:rsidRDefault="003461F6"/>
    <w:p w:rsidR="00EB5320" w:rsidRDefault="00EB5320"/>
    <w:sectPr w:rsidR="00EB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20"/>
    <w:rsid w:val="003461F6"/>
    <w:rsid w:val="00713796"/>
    <w:rsid w:val="007142C4"/>
    <w:rsid w:val="007442C7"/>
    <w:rsid w:val="007450F3"/>
    <w:rsid w:val="008C68AB"/>
    <w:rsid w:val="00A93F95"/>
    <w:rsid w:val="00E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CE07"/>
  <w15:chartTrackingRefBased/>
  <w15:docId w15:val="{66D0D402-E64F-4540-A52A-BCCD54CA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EB53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46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3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EB5320"/>
    <w:pPr>
      <w:spacing w:before="60"/>
      <w:ind w:left="62"/>
    </w:pPr>
  </w:style>
  <w:style w:type="character" w:customStyle="1" w:styleId="Kop1Char">
    <w:name w:val="Kop 1 Char"/>
    <w:basedOn w:val="Standaardalinea-lettertype"/>
    <w:link w:val="Kop1"/>
    <w:uiPriority w:val="9"/>
    <w:rsid w:val="003461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Buruma</dc:creator>
  <cp:keywords/>
  <dc:description/>
  <cp:lastModifiedBy>Marleen Buruma</cp:lastModifiedBy>
  <cp:revision>4</cp:revision>
  <dcterms:created xsi:type="dcterms:W3CDTF">2018-10-02T12:30:00Z</dcterms:created>
  <dcterms:modified xsi:type="dcterms:W3CDTF">2018-10-02T12:55:00Z</dcterms:modified>
</cp:coreProperties>
</file>